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p>
    <w:p>
      <w:pPr>
        <w:spacing w:after="200"/>
      </w:pPr>
    </w:p>
    <w:p>
      <w:pPr>
        <w:spacing w:after="200"/>
      </w:pPr>
    </w:p>
    <w:p>
      <w:pPr>
        <w:spacing w:after="200"/>
      </w:pPr>
    </w:p>
    <w:p>
      <w:pPr>
        <w:spacing w:after="200"/>
      </w:pPr>
    </w:p>
    <w:p>
      <w:pPr>
        <w:spacing w:after="200"/>
        <w:jc w:val="center"/>
      </w:pPr>
      <w:r>
        <w:rPr>
          <w:rFonts w:ascii="Arial" w:cs="Arial" w:eastAsia="Arial" w:hAnsi="Arial"/>
          <w:b/>
          <w:bCs/>
          <w:color w:val="1B5E7B"/>
          <w:sz w:val="56"/>
          <w:szCs w:val="56"/>
        </w:rPr>
        <w:t xml:space="preserve">HeidiMail.dk</w:t>
      </w:r>
    </w:p>
    <w:p>
      <w:pPr>
        <w:spacing w:after="120"/>
        <w:jc w:val="center"/>
      </w:pPr>
      <w:r>
        <w:rPr>
          <w:rFonts w:ascii="Arial" w:cs="Arial" w:eastAsia="Arial" w:hAnsi="Arial"/>
          <w:color w:val="555555"/>
          <w:sz w:val="32"/>
          <w:szCs w:val="32"/>
        </w:rPr>
        <w:t xml:space="preserve">Markedsanalyse</w:t>
      </w:r>
    </w:p>
    <w:p>
      <w:pPr>
        <w:spacing w:after="60"/>
        <w:jc w:val="center"/>
      </w:pPr>
      <w:r>
        <w:rPr>
          <w:rFonts w:ascii="Arial" w:cs="Arial" w:eastAsia="Arial" w:hAnsi="Arial"/>
          <w:color w:val="777777"/>
          <w:sz w:val="24"/>
          <w:szCs w:val="24"/>
        </w:rPr>
        <w:t xml:space="preserve">Dansk privacy-fokuseret email med samarbejds- og chatfunktioner</w:t>
      </w:r>
    </w:p>
    <w:p>
      <w:pPr>
        <w:pBdr>
          <w:bottom w:val="single" w:color="1B5E7B" w:sz="2" w:space="8"/>
        </w:pBdr>
        <w:spacing w:after="400"/>
        <w:jc w:val="center"/>
      </w:pPr>
    </w:p>
    <w:p>
      <w:pPr>
        <w:spacing w:after="60"/>
        <w:jc w:val="center"/>
      </w:pPr>
      <w:r>
        <w:rPr>
          <w:rFonts w:ascii="Arial" w:cs="Arial" w:eastAsia="Arial" w:hAnsi="Arial"/>
          <w:color w:val="888888"/>
          <w:sz w:val="22"/>
          <w:szCs w:val="22"/>
        </w:rPr>
        <w:t xml:space="preserve">Februar 2026</w:t>
      </w:r>
    </w:p>
    <w:p>
      <w:pPr>
        <w:jc w:val="center"/>
      </w:pPr>
      <w:r>
        <w:rPr>
          <w:rFonts w:ascii="Arial" w:cs="Arial" w:eastAsia="Arial" w:hAnsi="Arial"/>
          <w:color w:val="888888"/>
          <w:sz w:val="22"/>
          <w:szCs w:val="22"/>
        </w:rPr>
        <w:t xml:space="preserve">Udarbejdet med AI-assisteret research</w:t>
      </w:r>
    </w:p>
    <w:p>
      <w:pPr>
        <w:sectPr>
          <w:pgSz w:w="11906" w:h="16838" w:orient="portrait"/>
          <w:pgMar w:top="1440" w:right="1440" w:bottom="1440" w:left="1440" w:header="708" w:footer="708" w:gutter="0"/>
          <w:pgNumType/>
          <w:docGrid w:linePitch="360"/>
        </w:sectPr>
      </w:pPr>
    </w:p>
    <w:p>
      <w:pPr>
        <w:pStyle w:val="Heading1"/>
      </w:pPr>
      <w:r>
        <w:t xml:space="preserve">1. Sammenfatning</w:t>
      </w:r>
    </w:p>
    <w:p>
      <w:pPr>
        <w:spacing w:after="120" w:line="276"/>
      </w:pPr>
      <w:r>
        <w:rPr>
          <w:rFonts w:ascii="Arial" w:cs="Arial" w:eastAsia="Arial" w:hAnsi="Arial"/>
          <w:sz w:val="22"/>
          <w:szCs w:val="22"/>
        </w:rPr>
        <w:t xml:space="preserve">Denne analyse undersøger markedspotentialet for HeidiMail.dk — en dansk email-tjeneste med fokus på privatliv, datasuverænitet og integrerede samarbejdsværktøjer (kollaborativ email-redigering og chat). Analysen er baseret på aktuel markedsdata, regulatoriske trends og konkurrentlandskabet.</w:t>
      </w:r>
    </w:p>
    <w:p>
      <w:pPr>
        <w:spacing w:after="120" w:line="276"/>
      </w:pPr>
      <w:r>
        <w:rPr>
          <w:rFonts w:ascii="Arial" w:cs="Arial" w:eastAsia="Arial" w:hAnsi="Arial"/>
          <w:sz w:val="22"/>
          <w:szCs w:val="22"/>
        </w:rPr>
        <w:t xml:space="preserve">Konklusionen er klar: timingen er exceptionelt god. EU og Danmark bevæger sig aktivt væk fra amerikansk tech-afhængighed, og der eksisterer ingen dansk email-udbyder der kombinerer privacy med samarbejdsfunktioner. Markedet for sikker email vokser med over 12% årligt, og den politiske vilje til alternativer er stærkere end nogensinde.</w:t>
      </w:r>
    </w:p>
    <w:p>
      <w:pPr>
        <w:spacing w:after="200"/>
      </w:pPr>
    </w:p>
    <w:p>
      <w:pPr>
        <w:pStyle w:val="Heading1"/>
      </w:pPr>
      <w:r>
        <w:t xml:space="preserve">2. Makrotrends der driver behovet</w:t>
      </w:r>
    </w:p>
    <w:p>
      <w:pPr>
        <w:pStyle w:val="Heading2"/>
      </w:pPr>
      <w:r>
        <w:t xml:space="preserve">2.1 EU’s digitale suverænitet</w:t>
      </w:r>
    </w:p>
    <w:p>
      <w:pPr>
        <w:spacing w:after="120" w:line="276"/>
      </w:pPr>
      <w:r>
        <w:rPr>
          <w:rFonts w:ascii="Arial" w:cs="Arial" w:eastAsia="Arial" w:hAnsi="Arial"/>
          <w:sz w:val="22"/>
          <w:szCs w:val="22"/>
        </w:rPr>
        <w:t xml:space="preserve">Europa står midt i et historisk skifte væk fra afhængighed af amerikanske tech-giganter. I november 2025 vedtog EU-medlemsstaterne en “Declaration for European Digital Sovereignty” — en fælles ambition om at styrke Europas digitale uafhængighed. Ca. 97% af Europas cloud-infrastruktur domineres af ikke-europæiske udbydere (primært amerikanske), hvilket understreger afhængigheden.</w:t>
      </w:r>
    </w:p>
    <w:p>
      <w:pPr>
        <w:spacing w:after="120" w:line="276"/>
      </w:pPr>
      <w:r>
        <w:rPr>
          <w:rFonts w:ascii="Arial" w:cs="Arial" w:eastAsia="Arial" w:hAnsi="Arial"/>
          <w:sz w:val="22"/>
          <w:szCs w:val="22"/>
        </w:rPr>
        <w:t xml:space="preserve">Vigtige regulatoriske drivere inkluderer GDPR (skærpede krav til kryptering og databeskyttelse), NIS2-direktivet (cybersikkerhedskrav), EU Data Act (regulering af tredjelandsadgang til data), DORA (krav til finanssektoren), og det kommende Cloud and AI Development Act (CADA) der vil stille krav til EU-baseret cloud.</w:t>
      </w:r>
    </w:p>
    <w:p>
      <w:pPr>
        <w:pStyle w:val="Heading2"/>
      </w:pPr>
      <w:r>
        <w:t xml:space="preserve">2.2 CLOUD Act-konflikten</w:t>
      </w:r>
    </w:p>
    <w:p>
      <w:pPr>
        <w:spacing w:after="120" w:line="276"/>
      </w:pPr>
      <w:r>
        <w:rPr>
          <w:rFonts w:ascii="Arial" w:cs="Arial" w:eastAsia="Arial" w:hAnsi="Arial"/>
          <w:sz w:val="22"/>
          <w:szCs w:val="22"/>
        </w:rPr>
        <w:t xml:space="preserve">Den amerikanske CLOUD Act fra 2018 giver amerikanske myndigheder ret til at kræve adgang til data fra amerikanske virksomheder — uanset hvor dataene er lagret fysisk. Dette står i direkte konflikt med GDPR. Microsofts franske chef har under ed forklaret, at Microsoft ikke kan garantere at franske data ikke sendes til amerikanske myndigheder. Denne konflikt er en fundamental driver for europæiske alternativer.</w:t>
      </w:r>
    </w:p>
    <w:p>
      <w:pPr>
        <w:pStyle w:val="Heading2"/>
      </w:pPr>
      <w:r>
        <w:t xml:space="preserve">2.3 Danmarks særlige situation</w:t>
      </w:r>
    </w:p>
    <w:p>
      <w:pPr>
        <w:spacing w:after="120" w:line="276"/>
      </w:pPr>
      <w:r>
        <w:rPr>
          <w:rFonts w:ascii="Arial" w:cs="Arial" w:eastAsia="Arial" w:hAnsi="Arial"/>
          <w:sz w:val="22"/>
          <w:szCs w:val="22"/>
        </w:rPr>
        <w:t xml:space="preserve">Danmark er i en unik position der gør HeidiMail særligt relevant:</w:t>
      </w:r>
    </w:p>
    <w:p>
      <w:pPr>
        <w:pStyle w:val="ListParagraph"/>
        <w:numPr>
          <w:ilvl w:val="0"/>
          <w:numId w:val="2"/>
        </w:numPr>
        <w:spacing w:after="60" w:line="276"/>
      </w:pPr>
      <w:r>
        <w:rPr>
          <w:rFonts w:ascii="Arial" w:cs="Arial" w:eastAsia="Arial" w:hAnsi="Arial"/>
          <w:sz w:val="22"/>
          <w:szCs w:val="22"/>
        </w:rPr>
        <w:t xml:space="preserve">Regeringens ekspertgruppe anbefalede i december 2024 at gøre den offentlige sektor uafhængig af Google og Microsoft</w:t>
      </w:r>
    </w:p>
    <w:p>
      <w:pPr>
        <w:pStyle w:val="ListParagraph"/>
        <w:numPr>
          <w:ilvl w:val="0"/>
          <w:numId w:val="2"/>
        </w:numPr>
        <w:spacing w:after="60" w:line="276"/>
      </w:pPr>
      <w:r>
        <w:rPr>
          <w:rFonts w:ascii="Arial" w:cs="Arial" w:eastAsia="Arial" w:hAnsi="Arial"/>
          <w:sz w:val="22"/>
          <w:szCs w:val="22"/>
        </w:rPr>
        <w:t xml:space="preserve">Digitaliseringsminister Caroline Stage lancerede i 2025 et pilotprojekt med open source-alternativer i ministeriet</w:t>
      </w:r>
    </w:p>
    <w:p>
      <w:pPr>
        <w:pStyle w:val="ListParagraph"/>
        <w:numPr>
          <w:ilvl w:val="0"/>
          <w:numId w:val="2"/>
        </w:numPr>
        <w:spacing w:after="60" w:line="276"/>
      </w:pPr>
      <w:r>
        <w:rPr>
          <w:rFonts w:ascii="Arial" w:cs="Arial" w:eastAsia="Arial" w:hAnsi="Arial"/>
          <w:sz w:val="22"/>
          <w:szCs w:val="22"/>
        </w:rPr>
        <w:t xml:space="preserve">I december 2025 modtog Færdselsstyrelsen den første Microsoft-fri pc i staten (SIA Open-projektet)</w:t>
      </w:r>
    </w:p>
    <w:p>
      <w:pPr>
        <w:pStyle w:val="ListParagraph"/>
        <w:numPr>
          <w:ilvl w:val="0"/>
          <w:numId w:val="2"/>
        </w:numPr>
        <w:spacing w:after="60" w:line="276"/>
      </w:pPr>
      <w:r>
        <w:rPr>
          <w:rFonts w:ascii="Arial" w:cs="Arial" w:eastAsia="Arial" w:hAnsi="Arial"/>
          <w:sz w:val="22"/>
          <w:szCs w:val="22"/>
        </w:rPr>
        <w:t xml:space="preserve">København og Aarhus er begyndt at udfase Microsoft-løsninger</w:t>
      </w:r>
    </w:p>
    <w:p>
      <w:pPr>
        <w:pStyle w:val="ListParagraph"/>
        <w:numPr>
          <w:ilvl w:val="0"/>
          <w:numId w:val="2"/>
        </w:numPr>
        <w:spacing w:after="60" w:line="276"/>
      </w:pPr>
      <w:r>
        <w:rPr>
          <w:rFonts w:ascii="Arial" w:cs="Arial" w:eastAsia="Arial" w:hAnsi="Arial"/>
          <w:sz w:val="22"/>
          <w:szCs w:val="22"/>
        </w:rPr>
        <w:t xml:space="preserve">IT-fagfolk udtrykte på V2 Security-konferencen bekymring for at Trump kan beordre et Microsoft-boykot mod Danmark</w:t>
      </w:r>
    </w:p>
    <w:p>
      <w:pPr>
        <w:pStyle w:val="ListParagraph"/>
        <w:numPr>
          <w:ilvl w:val="0"/>
          <w:numId w:val="2"/>
        </w:numPr>
        <w:spacing w:after="60" w:line="276"/>
      </w:pPr>
      <w:r>
        <w:rPr>
          <w:rFonts w:ascii="Arial" w:cs="Arial" w:eastAsia="Arial" w:hAnsi="Arial"/>
          <w:sz w:val="22"/>
          <w:szCs w:val="22"/>
        </w:rPr>
        <w:t xml:space="preserve">En folketingsordfører har krævet Microsoft helt ud af Folketinget</w:t>
      </w:r>
    </w:p>
    <w:p>
      <w:pPr>
        <w:spacing w:after="120" w:line="276"/>
      </w:pPr>
      <w:r>
        <w:rPr>
          <w:rFonts w:ascii="Arial" w:cs="Arial" w:eastAsia="Arial" w:hAnsi="Arial"/>
          <w:sz w:val="22"/>
          <w:szCs w:val="22"/>
        </w:rPr>
        <w:t xml:space="preserve">Denne politiske og institutionelle bevægelse skaber et vindue for danske alternativer som HeidiMail.</w:t>
      </w:r>
    </w:p>
    <w:p>
      <w:pPr>
        <w:spacing w:after="200"/>
      </w:pPr>
    </w:p>
    <w:p>
      <w:pPr>
        <w:pStyle w:val="Heading1"/>
      </w:pPr>
      <w:r>
        <w:t xml:space="preserve">3. Markedsstørrelse og vækst</w:t>
      </w:r>
    </w:p>
    <w:p>
      <w:pPr>
        <w:pStyle w:val="Heading2"/>
      </w:pPr>
      <w:r>
        <w:t xml:space="preserve">3.1 Globale markeder</w:t>
      </w:r>
    </w:p>
    <w:p>
      <w:pPr>
        <w:spacing w:after="120" w:line="276"/>
      </w:pPr>
      <w:r>
        <w:rPr>
          <w:rFonts w:ascii="Arial" w:cs="Arial" w:eastAsia="Arial" w:hAnsi="Arial"/>
          <w:sz w:val="22"/>
          <w:szCs w:val="22"/>
        </w:rPr>
        <w:t xml:space="preserve">Flere delmarkeder er relevante for HeidiMail: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1800"/>
        <w:gridCol w:w="1800"/>
        <w:gridCol w:w="1400"/>
        <w:gridCol w:w="1226"/>
      </w:tblGrid>
      <w:tr>
        <w:tc>
          <w:tcPr>
            <w:tcW w:type="dxa" w:w="2800"/>
            <w:tcBorders>
              <w:top w:val="single" w:color="CCCCCC" w:sz="1"/>
              <w:left w:val="single" w:color="CCCCCC" w:sz="1"/>
              <w:bottom w:val="single" w:color="CCCCCC" w:sz="1"/>
              <w:right w:val="single" w:color="CCCCCC" w:sz="1"/>
            </w:tcBorders>
            <w:shd w:fill="1B5E7B" w:val="clear"/>
            <w:tcMar>
              <w:top w:type="dxa" w:w="80"/>
              <w:left w:type="dxa" w:w="120"/>
              <w:bottom w:type="dxa" w:w="80"/>
              <w:right w:type="dxa" w:w="120"/>
            </w:tcMar>
            <w:vAlign w:val="center"/>
          </w:tcPr>
          <w:p>
            <w:r>
              <w:rPr>
                <w:rFonts w:ascii="Arial" w:cs="Arial" w:eastAsia="Arial" w:hAnsi="Arial"/>
                <w:b/>
                <w:bCs/>
                <w:color w:val="FFFFFF"/>
                <w:sz w:val="20"/>
                <w:szCs w:val="20"/>
              </w:rPr>
              <w:t xml:space="preserve">Marked</w:t>
            </w:r>
          </w:p>
        </w:tc>
        <w:tc>
          <w:tcPr>
            <w:tcW w:type="dxa" w:w="1800"/>
            <w:tcBorders>
              <w:top w:val="single" w:color="CCCCCC" w:sz="1"/>
              <w:left w:val="single" w:color="CCCCCC" w:sz="1"/>
              <w:bottom w:val="single" w:color="CCCCCC" w:sz="1"/>
              <w:right w:val="single" w:color="CCCCCC" w:sz="1"/>
            </w:tcBorders>
            <w:shd w:fill="1B5E7B" w:val="clear"/>
            <w:tcMar>
              <w:top w:type="dxa" w:w="80"/>
              <w:left w:type="dxa" w:w="120"/>
              <w:bottom w:type="dxa" w:w="80"/>
              <w:right w:type="dxa" w:w="120"/>
            </w:tcMar>
            <w:vAlign w:val="center"/>
          </w:tcPr>
          <w:p>
            <w:r>
              <w:rPr>
                <w:rFonts w:ascii="Arial" w:cs="Arial" w:eastAsia="Arial" w:hAnsi="Arial"/>
                <w:b/>
                <w:bCs/>
                <w:color w:val="FFFFFF"/>
                <w:sz w:val="20"/>
                <w:szCs w:val="20"/>
              </w:rPr>
              <w:t xml:space="preserve">2025 (USD)</w:t>
            </w:r>
          </w:p>
        </w:tc>
        <w:tc>
          <w:tcPr>
            <w:tcW w:type="dxa" w:w="1800"/>
            <w:tcBorders>
              <w:top w:val="single" w:color="CCCCCC" w:sz="1"/>
              <w:left w:val="single" w:color="CCCCCC" w:sz="1"/>
              <w:bottom w:val="single" w:color="CCCCCC" w:sz="1"/>
              <w:right w:val="single" w:color="CCCCCC" w:sz="1"/>
            </w:tcBorders>
            <w:shd w:fill="1B5E7B" w:val="clear"/>
            <w:tcMar>
              <w:top w:type="dxa" w:w="80"/>
              <w:left w:type="dxa" w:w="120"/>
              <w:bottom w:type="dxa" w:w="80"/>
              <w:right w:type="dxa" w:w="120"/>
            </w:tcMar>
            <w:vAlign w:val="center"/>
          </w:tcPr>
          <w:p>
            <w:r>
              <w:rPr>
                <w:rFonts w:ascii="Arial" w:cs="Arial" w:eastAsia="Arial" w:hAnsi="Arial"/>
                <w:b/>
                <w:bCs/>
                <w:color w:val="FFFFFF"/>
                <w:sz w:val="20"/>
                <w:szCs w:val="20"/>
              </w:rPr>
              <w:t xml:space="preserve">Prognose (USD)</w:t>
            </w:r>
          </w:p>
        </w:tc>
        <w:tc>
          <w:tcPr>
            <w:tcW w:type="dxa" w:w="1400"/>
            <w:tcBorders>
              <w:top w:val="single" w:color="CCCCCC" w:sz="1"/>
              <w:left w:val="single" w:color="CCCCCC" w:sz="1"/>
              <w:bottom w:val="single" w:color="CCCCCC" w:sz="1"/>
              <w:right w:val="single" w:color="CCCCCC" w:sz="1"/>
            </w:tcBorders>
            <w:shd w:fill="1B5E7B" w:val="clear"/>
            <w:tcMar>
              <w:top w:type="dxa" w:w="80"/>
              <w:left w:type="dxa" w:w="120"/>
              <w:bottom w:type="dxa" w:w="80"/>
              <w:right w:type="dxa" w:w="120"/>
            </w:tcMar>
            <w:vAlign w:val="center"/>
          </w:tcPr>
          <w:p>
            <w:r>
              <w:rPr>
                <w:rFonts w:ascii="Arial" w:cs="Arial" w:eastAsia="Arial" w:hAnsi="Arial"/>
                <w:b/>
                <w:bCs/>
                <w:color w:val="FFFFFF"/>
                <w:sz w:val="20"/>
                <w:szCs w:val="20"/>
              </w:rPr>
              <w:t xml:space="preserve">CAGR</w:t>
            </w:r>
          </w:p>
        </w:tc>
        <w:tc>
          <w:tcPr>
            <w:tcW w:type="dxa" w:w="1226"/>
            <w:tcBorders>
              <w:top w:val="single" w:color="CCCCCC" w:sz="1"/>
              <w:left w:val="single" w:color="CCCCCC" w:sz="1"/>
              <w:bottom w:val="single" w:color="CCCCCC" w:sz="1"/>
              <w:right w:val="single" w:color="CCCCCC" w:sz="1"/>
            </w:tcBorders>
            <w:shd w:fill="1B5E7B" w:val="clear"/>
            <w:tcMar>
              <w:top w:type="dxa" w:w="80"/>
              <w:left w:type="dxa" w:w="120"/>
              <w:bottom w:type="dxa" w:w="80"/>
              <w:right w:type="dxa" w:w="120"/>
            </w:tcMar>
            <w:vAlign w:val="center"/>
          </w:tcPr>
          <w:p>
            <w:r>
              <w:rPr>
                <w:rFonts w:ascii="Arial" w:cs="Arial" w:eastAsia="Arial" w:hAnsi="Arial"/>
                <w:b/>
                <w:bCs/>
                <w:color w:val="FFFFFF"/>
                <w:sz w:val="20"/>
                <w:szCs w:val="20"/>
              </w:rPr>
              <w:t xml:space="preserve">År</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Email Security</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$5,2 mia.</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$9,6 mia.</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12,8%</w:t>
            </w:r>
          </w:p>
        </w:tc>
        <w:tc>
          <w:tcPr>
            <w:tcW w:type="dxa" w:w="12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2030</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Email Encryption</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$9,3 mia.</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$23,3 mia.</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20,2%</w:t>
            </w:r>
          </w:p>
        </w:tc>
        <w:tc>
          <w:tcPr>
            <w:tcW w:type="dxa" w:w="12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2030</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Cloud Email Security</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$5,6 mia.</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$9,7 mia.</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12,7%</w:t>
            </w:r>
          </w:p>
        </w:tc>
        <w:tc>
          <w:tcPr>
            <w:tcW w:type="dxa" w:w="12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2030</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Secure Email Solutions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$2,7 mia.</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$5,7 mia.</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12,9%</w:t>
            </w:r>
          </w:p>
        </w:tc>
        <w:tc>
          <w:tcPr>
            <w:tcW w:type="dxa" w:w="12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2031</w:t>
            </w:r>
          </w:p>
        </w:tc>
      </w:tr>
    </w:tbl>
    <w:p>
      <w:pPr>
        <w:spacing w:after="200"/>
      </w:pPr>
    </w:p>
    <w:p>
      <w:pPr>
        <w:spacing w:after="120" w:line="276"/>
      </w:pPr>
      <w:r>
        <w:rPr>
          <w:rFonts w:ascii="Arial" w:cs="Arial" w:eastAsia="Arial" w:hAnsi="Arial"/>
          <w:sz w:val="22"/>
          <w:szCs w:val="22"/>
        </w:rPr>
        <w:t xml:space="preserve">Europa er det næststørste marked efter Nordamerika, drevet af GDPR, NIS2 og en stærk privacy-kultur. Væksten i Europa er højere end gennemsnittet pga. regulatorisk pres.</w:t>
      </w:r>
    </w:p>
    <w:p>
      <w:pPr>
        <w:pStyle w:val="Heading2"/>
      </w:pPr>
      <w:r>
        <w:t xml:space="preserve">3.2 Privacy-email segmentet</w:t>
      </w:r>
    </w:p>
    <w:p>
      <w:pPr>
        <w:spacing w:after="120" w:line="276"/>
      </w:pPr>
      <w:r>
        <w:rPr>
          <w:rFonts w:ascii="Arial" w:cs="Arial" w:eastAsia="Arial" w:hAnsi="Arial"/>
          <w:sz w:val="22"/>
          <w:szCs w:val="22"/>
        </w:rPr>
        <w:t xml:space="preserve">Proton Mail er markedsleder med over 100 millioner konti (2023-tal). Væksten har været eksplosiv: fra 2 mio. brugere i 2017 til 20 mio. i 2020, 50 mio. i 2021 og 70+ mio. i 2022. Protons årsomsætning lå på ca. $97-102 mio. i 2024-2025. Tuta Mail (tyskland-baseret) har over 10 mio. brugere. Disse tal viser at privacy-email er et reelt og voksende marked — ikke en niche.</w:t>
      </w:r>
    </w:p>
    <w:p>
      <w:pPr>
        <w:spacing w:after="200"/>
      </w:pPr>
    </w:p>
    <w:p>
      <w:pPr>
        <w:pStyle w:val="Heading1"/>
      </w:pPr>
      <w:r>
        <w:t xml:space="preserve">4. Konkurrentanalyse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600"/>
        <w:gridCol w:w="1200"/>
        <w:gridCol w:w="1200"/>
        <w:gridCol w:w="1200"/>
        <w:gridCol w:w="1100"/>
        <w:gridCol w:w="1100"/>
        <w:gridCol w:w="1626"/>
      </w:tblGrid>
      <w:tr>
        <w:tc>
          <w:tcPr>
            <w:tcW w:type="dxa" w:w="1600"/>
            <w:tcBorders>
              <w:top w:val="single" w:color="CCCCCC" w:sz="1"/>
              <w:left w:val="single" w:color="CCCCCC" w:sz="1"/>
              <w:bottom w:val="single" w:color="CCCCCC" w:sz="1"/>
              <w:right w:val="single" w:color="CCCCCC" w:sz="1"/>
            </w:tcBorders>
            <w:shd w:fill="1B5E7B" w:val="clear"/>
            <w:tcMar>
              <w:top w:type="dxa" w:w="80"/>
              <w:left w:type="dxa" w:w="120"/>
              <w:bottom w:type="dxa" w:w="80"/>
              <w:right w:type="dxa" w:w="120"/>
            </w:tcMar>
            <w:vAlign w:val="center"/>
          </w:tcPr>
          <w:p>
            <w:r>
              <w:rPr>
                <w:rFonts w:ascii="Arial" w:cs="Arial" w:eastAsia="Arial" w:hAnsi="Arial"/>
                <w:b/>
                <w:bCs/>
                <w:color w:val="FFFFFF"/>
                <w:sz w:val="20"/>
                <w:szCs w:val="20"/>
              </w:rPr>
              <w:t xml:space="preserve">Udbyder</w:t>
            </w:r>
          </w:p>
        </w:tc>
        <w:tc>
          <w:tcPr>
            <w:tcW w:type="dxa" w:w="1200"/>
            <w:tcBorders>
              <w:top w:val="single" w:color="CCCCCC" w:sz="1"/>
              <w:left w:val="single" w:color="CCCCCC" w:sz="1"/>
              <w:bottom w:val="single" w:color="CCCCCC" w:sz="1"/>
              <w:right w:val="single" w:color="CCCCCC" w:sz="1"/>
            </w:tcBorders>
            <w:shd w:fill="1B5E7B" w:val="clear"/>
            <w:tcMar>
              <w:top w:type="dxa" w:w="80"/>
              <w:left w:type="dxa" w:w="120"/>
              <w:bottom w:type="dxa" w:w="80"/>
              <w:right w:type="dxa" w:w="120"/>
            </w:tcMar>
            <w:vAlign w:val="center"/>
          </w:tcPr>
          <w:p>
            <w:r>
              <w:rPr>
                <w:rFonts w:ascii="Arial" w:cs="Arial" w:eastAsia="Arial" w:hAnsi="Arial"/>
                <w:b/>
                <w:bCs/>
                <w:color w:val="FFFFFF"/>
                <w:sz w:val="20"/>
                <w:szCs w:val="20"/>
              </w:rPr>
              <w:t xml:space="preserve">Land</w:t>
            </w:r>
          </w:p>
        </w:tc>
        <w:tc>
          <w:tcPr>
            <w:tcW w:type="dxa" w:w="1200"/>
            <w:tcBorders>
              <w:top w:val="single" w:color="CCCCCC" w:sz="1"/>
              <w:left w:val="single" w:color="CCCCCC" w:sz="1"/>
              <w:bottom w:val="single" w:color="CCCCCC" w:sz="1"/>
              <w:right w:val="single" w:color="CCCCCC" w:sz="1"/>
            </w:tcBorders>
            <w:shd w:fill="1B5E7B" w:val="clear"/>
            <w:tcMar>
              <w:top w:type="dxa" w:w="80"/>
              <w:left w:type="dxa" w:w="120"/>
              <w:bottom w:type="dxa" w:w="80"/>
              <w:right w:type="dxa" w:w="120"/>
            </w:tcMar>
            <w:vAlign w:val="center"/>
          </w:tcPr>
          <w:p>
            <w:r>
              <w:rPr>
                <w:rFonts w:ascii="Arial" w:cs="Arial" w:eastAsia="Arial" w:hAnsi="Arial"/>
                <w:b/>
                <w:bCs/>
                <w:color w:val="FFFFFF"/>
                <w:sz w:val="20"/>
                <w:szCs w:val="20"/>
              </w:rPr>
              <w:t xml:space="preserve">E2E krypt.</w:t>
            </w:r>
          </w:p>
        </w:tc>
        <w:tc>
          <w:tcPr>
            <w:tcW w:type="dxa" w:w="1200"/>
            <w:tcBorders>
              <w:top w:val="single" w:color="CCCCCC" w:sz="1"/>
              <w:left w:val="single" w:color="CCCCCC" w:sz="1"/>
              <w:bottom w:val="single" w:color="CCCCCC" w:sz="1"/>
              <w:right w:val="single" w:color="CCCCCC" w:sz="1"/>
            </w:tcBorders>
            <w:shd w:fill="1B5E7B" w:val="clear"/>
            <w:tcMar>
              <w:top w:type="dxa" w:w="80"/>
              <w:left w:type="dxa" w:w="120"/>
              <w:bottom w:type="dxa" w:w="80"/>
              <w:right w:type="dxa" w:w="120"/>
            </w:tcMar>
            <w:vAlign w:val="center"/>
          </w:tcPr>
          <w:p>
            <w:r>
              <w:rPr>
                <w:rFonts w:ascii="Arial" w:cs="Arial" w:eastAsia="Arial" w:hAnsi="Arial"/>
                <w:b/>
                <w:bCs/>
                <w:color w:val="FFFFFF"/>
                <w:sz w:val="20"/>
                <w:szCs w:val="20"/>
              </w:rPr>
              <w:t xml:space="preserve">Collab</w:t>
            </w:r>
          </w:p>
        </w:tc>
        <w:tc>
          <w:tcPr>
            <w:tcW w:type="dxa" w:w="1100"/>
            <w:tcBorders>
              <w:top w:val="single" w:color="CCCCCC" w:sz="1"/>
              <w:left w:val="single" w:color="CCCCCC" w:sz="1"/>
              <w:bottom w:val="single" w:color="CCCCCC" w:sz="1"/>
              <w:right w:val="single" w:color="CCCCCC" w:sz="1"/>
            </w:tcBorders>
            <w:shd w:fill="1B5E7B" w:val="clear"/>
            <w:tcMar>
              <w:top w:type="dxa" w:w="80"/>
              <w:left w:type="dxa" w:w="120"/>
              <w:bottom w:type="dxa" w:w="80"/>
              <w:right w:type="dxa" w:w="120"/>
            </w:tcMar>
            <w:vAlign w:val="center"/>
          </w:tcPr>
          <w:p>
            <w:r>
              <w:rPr>
                <w:rFonts w:ascii="Arial" w:cs="Arial" w:eastAsia="Arial" w:hAnsi="Arial"/>
                <w:b/>
                <w:bCs/>
                <w:color w:val="FFFFFF"/>
                <w:sz w:val="20"/>
                <w:szCs w:val="20"/>
              </w:rPr>
              <w:t xml:space="preserve">Chat</w:t>
            </w:r>
          </w:p>
        </w:tc>
        <w:tc>
          <w:tcPr>
            <w:tcW w:type="dxa" w:w="1100"/>
            <w:tcBorders>
              <w:top w:val="single" w:color="CCCCCC" w:sz="1"/>
              <w:left w:val="single" w:color="CCCCCC" w:sz="1"/>
              <w:bottom w:val="single" w:color="CCCCCC" w:sz="1"/>
              <w:right w:val="single" w:color="CCCCCC" w:sz="1"/>
            </w:tcBorders>
            <w:shd w:fill="1B5E7B" w:val="clear"/>
            <w:tcMar>
              <w:top w:type="dxa" w:w="80"/>
              <w:left w:type="dxa" w:w="120"/>
              <w:bottom w:type="dxa" w:w="80"/>
              <w:right w:type="dxa" w:w="120"/>
            </w:tcMar>
            <w:vAlign w:val="center"/>
          </w:tcPr>
          <w:p>
            <w:r>
              <w:rPr>
                <w:rFonts w:ascii="Arial" w:cs="Arial" w:eastAsia="Arial" w:hAnsi="Arial"/>
                <w:b/>
                <w:bCs/>
                <w:color w:val="FFFFFF"/>
                <w:sz w:val="20"/>
                <w:szCs w:val="20"/>
              </w:rPr>
              <w:t xml:space="preserve">Dansk</w:t>
            </w:r>
          </w:p>
        </w:tc>
        <w:tc>
          <w:tcPr>
            <w:tcW w:type="dxa" w:w="1626"/>
            <w:tcBorders>
              <w:top w:val="single" w:color="CCCCCC" w:sz="1"/>
              <w:left w:val="single" w:color="CCCCCC" w:sz="1"/>
              <w:bottom w:val="single" w:color="CCCCCC" w:sz="1"/>
              <w:right w:val="single" w:color="CCCCCC" w:sz="1"/>
            </w:tcBorders>
            <w:shd w:fill="1B5E7B" w:val="clear"/>
            <w:tcMar>
              <w:top w:type="dxa" w:w="80"/>
              <w:left w:type="dxa" w:w="120"/>
              <w:bottom w:type="dxa" w:w="80"/>
              <w:right w:type="dxa" w:w="120"/>
            </w:tcMar>
            <w:vAlign w:val="center"/>
          </w:tcPr>
          <w:p>
            <w:r>
              <w:rPr>
                <w:rFonts w:ascii="Arial" w:cs="Arial" w:eastAsia="Arial" w:hAnsi="Arial"/>
                <w:b/>
                <w:bCs/>
                <w:color w:val="FFFFFF"/>
                <w:sz w:val="20"/>
                <w:szCs w:val="20"/>
              </w:rPr>
              <w:t xml:space="preserve">Pris/md</w:t>
            </w:r>
          </w:p>
        </w:tc>
      </w:tr>
      <w:tr>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Proton Mail</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Schweiz</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Ja</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Nej</w:t>
            </w:r>
          </w:p>
        </w:tc>
        <w:tc>
          <w:tcPr>
            <w:tcW w:type="dxa" w:w="11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Nej</w:t>
            </w:r>
          </w:p>
        </w:tc>
        <w:tc>
          <w:tcPr>
            <w:tcW w:type="dxa" w:w="11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Nej</w:t>
            </w:r>
          </w:p>
        </w:tc>
        <w:tc>
          <w:tcPr>
            <w:tcW w:type="dxa" w:w="16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Gratis/€4+</w:t>
            </w:r>
          </w:p>
        </w:tc>
      </w:tr>
      <w:tr>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Tuta Mail</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Tyskland</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Ja</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Nej</w:t>
            </w:r>
          </w:p>
        </w:tc>
        <w:tc>
          <w:tcPr>
            <w:tcW w:type="dxa" w:w="11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Nej</w:t>
            </w:r>
          </w:p>
        </w:tc>
        <w:tc>
          <w:tcPr>
            <w:tcW w:type="dxa" w:w="11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Nej</w:t>
            </w:r>
          </w:p>
        </w:tc>
        <w:tc>
          <w:tcPr>
            <w:tcW w:type="dxa" w:w="16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Gratis/€3+</w:t>
            </w:r>
          </w:p>
        </w:tc>
      </w:tr>
      <w:tr>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Mailbox.org</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Tyskland</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Delvist</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Nej</w:t>
            </w:r>
          </w:p>
        </w:tc>
        <w:tc>
          <w:tcPr>
            <w:tcW w:type="dxa" w:w="11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Nej</w:t>
            </w:r>
          </w:p>
        </w:tc>
        <w:tc>
          <w:tcPr>
            <w:tcW w:type="dxa" w:w="11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Nej</w:t>
            </w:r>
          </w:p>
        </w:tc>
        <w:tc>
          <w:tcPr>
            <w:tcW w:type="dxa" w:w="16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€3+</w:t>
            </w:r>
          </w:p>
        </w:tc>
      </w:tr>
      <w:tr>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Posteo</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Tyskland</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Delvist</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Nej</w:t>
            </w:r>
          </w:p>
        </w:tc>
        <w:tc>
          <w:tcPr>
            <w:tcW w:type="dxa" w:w="11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Nej</w:t>
            </w:r>
          </w:p>
        </w:tc>
        <w:tc>
          <w:tcPr>
            <w:tcW w:type="dxa" w:w="11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Nej</w:t>
            </w:r>
          </w:p>
        </w:tc>
        <w:tc>
          <w:tcPr>
            <w:tcW w:type="dxa" w:w="16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€1</w:t>
            </w:r>
          </w:p>
        </w:tc>
      </w:tr>
      <w:tr>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Gmail</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USA</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Nej</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Ja (Docs)</w:t>
            </w:r>
          </w:p>
        </w:tc>
        <w:tc>
          <w:tcPr>
            <w:tcW w:type="dxa" w:w="11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Ja (Chat)</w:t>
            </w:r>
          </w:p>
        </w:tc>
        <w:tc>
          <w:tcPr>
            <w:tcW w:type="dxa" w:w="11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Nej</w:t>
            </w:r>
          </w:p>
        </w:tc>
        <w:tc>
          <w:tcPr>
            <w:tcW w:type="dxa" w:w="16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Gratis/$6+</w:t>
            </w:r>
          </w:p>
        </w:tc>
      </w:tr>
      <w:tr>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Outlook/M365</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USA</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Nej</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Ja</w:t>
            </w:r>
          </w:p>
        </w:tc>
        <w:tc>
          <w:tcPr>
            <w:tcW w:type="dxa" w:w="11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Ja (Teams)</w:t>
            </w:r>
          </w:p>
        </w:tc>
        <w:tc>
          <w:tcPr>
            <w:tcW w:type="dxa" w:w="11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Nej</w:t>
            </w:r>
          </w:p>
        </w:tc>
        <w:tc>
          <w:tcPr>
            <w:tcW w:type="dxa" w:w="16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$6+</w:t>
            </w:r>
          </w:p>
        </w:tc>
      </w:tr>
      <w:tr>
        <w:tc>
          <w:tcPr>
            <w:tcW w:type="dxa" w:w="1600"/>
            <w:tcBorders>
              <w:top w:val="single" w:color="CCCCCC" w:sz="1"/>
              <w:left w:val="single" w:color="CCCCCC" w:sz="1"/>
              <w:bottom w:val="single" w:color="CCCCCC" w:sz="1"/>
              <w:right w:val="single" w:color="CCCCCC" w:sz="1"/>
            </w:tcBorders>
            <w:shd w:fill="E8F4F8" w:val="clear"/>
            <w:tcMar>
              <w:top w:type="dxa" w:w="80"/>
              <w:left w:type="dxa" w:w="120"/>
              <w:bottom w:type="dxa" w:w="80"/>
              <w:right w:type="dxa" w:w="120"/>
            </w:tcMar>
          </w:tcPr>
          <w:p>
            <w:r>
              <w:rPr>
                <w:rFonts w:ascii="Arial" w:cs="Arial" w:eastAsia="Arial" w:hAnsi="Arial"/>
                <w:b/>
                <w:bCs/>
                <w:sz w:val="20"/>
                <w:szCs w:val="20"/>
              </w:rPr>
              <w:t xml:space="preserve">HeidiMail</w:t>
            </w:r>
          </w:p>
        </w:tc>
        <w:tc>
          <w:tcPr>
            <w:tcW w:type="dxa" w:w="1200"/>
            <w:tcBorders>
              <w:top w:val="single" w:color="CCCCCC" w:sz="1"/>
              <w:left w:val="single" w:color="CCCCCC" w:sz="1"/>
              <w:bottom w:val="single" w:color="CCCCCC" w:sz="1"/>
              <w:right w:val="single" w:color="CCCCCC" w:sz="1"/>
            </w:tcBorders>
            <w:shd w:fill="E8F4F8" w:val="clear"/>
            <w:tcMar>
              <w:top w:type="dxa" w:w="80"/>
              <w:left w:type="dxa" w:w="120"/>
              <w:bottom w:type="dxa" w:w="80"/>
              <w:right w:type="dxa" w:w="120"/>
            </w:tcMar>
          </w:tcPr>
          <w:p>
            <w:r>
              <w:rPr>
                <w:rFonts w:ascii="Arial" w:cs="Arial" w:eastAsia="Arial" w:hAnsi="Arial"/>
                <w:b/>
                <w:bCs/>
                <w:sz w:val="20"/>
                <w:szCs w:val="20"/>
              </w:rPr>
              <w:t xml:space="preserve">Danmark</w:t>
            </w:r>
          </w:p>
        </w:tc>
        <w:tc>
          <w:tcPr>
            <w:tcW w:type="dxa" w:w="1200"/>
            <w:tcBorders>
              <w:top w:val="single" w:color="CCCCCC" w:sz="1"/>
              <w:left w:val="single" w:color="CCCCCC" w:sz="1"/>
              <w:bottom w:val="single" w:color="CCCCCC" w:sz="1"/>
              <w:right w:val="single" w:color="CCCCCC" w:sz="1"/>
            </w:tcBorders>
            <w:shd w:fill="E8F4F8" w:val="clear"/>
            <w:tcMar>
              <w:top w:type="dxa" w:w="80"/>
              <w:left w:type="dxa" w:w="120"/>
              <w:bottom w:type="dxa" w:w="80"/>
              <w:right w:type="dxa" w:w="120"/>
            </w:tcMar>
          </w:tcPr>
          <w:p>
            <w:r>
              <w:rPr>
                <w:rFonts w:ascii="Arial" w:cs="Arial" w:eastAsia="Arial" w:hAnsi="Arial"/>
                <w:b/>
                <w:bCs/>
                <w:sz w:val="20"/>
                <w:szCs w:val="20"/>
              </w:rPr>
              <w:t xml:space="preserve">Ja</w:t>
            </w:r>
          </w:p>
        </w:tc>
        <w:tc>
          <w:tcPr>
            <w:tcW w:type="dxa" w:w="1200"/>
            <w:tcBorders>
              <w:top w:val="single" w:color="CCCCCC" w:sz="1"/>
              <w:left w:val="single" w:color="CCCCCC" w:sz="1"/>
              <w:bottom w:val="single" w:color="CCCCCC" w:sz="1"/>
              <w:right w:val="single" w:color="CCCCCC" w:sz="1"/>
            </w:tcBorders>
            <w:shd w:fill="E8F4F8" w:val="clear"/>
            <w:tcMar>
              <w:top w:type="dxa" w:w="80"/>
              <w:left w:type="dxa" w:w="120"/>
              <w:bottom w:type="dxa" w:w="80"/>
              <w:right w:type="dxa" w:w="120"/>
            </w:tcMar>
          </w:tcPr>
          <w:p>
            <w:r>
              <w:rPr>
                <w:rFonts w:ascii="Arial" w:cs="Arial" w:eastAsia="Arial" w:hAnsi="Arial"/>
                <w:b/>
                <w:bCs/>
                <w:sz w:val="20"/>
                <w:szCs w:val="20"/>
              </w:rPr>
              <w:t xml:space="preserve">Ja</w:t>
            </w:r>
          </w:p>
        </w:tc>
        <w:tc>
          <w:tcPr>
            <w:tcW w:type="dxa" w:w="1100"/>
            <w:tcBorders>
              <w:top w:val="single" w:color="CCCCCC" w:sz="1"/>
              <w:left w:val="single" w:color="CCCCCC" w:sz="1"/>
              <w:bottom w:val="single" w:color="CCCCCC" w:sz="1"/>
              <w:right w:val="single" w:color="CCCCCC" w:sz="1"/>
            </w:tcBorders>
            <w:shd w:fill="E8F4F8" w:val="clear"/>
            <w:tcMar>
              <w:top w:type="dxa" w:w="80"/>
              <w:left w:type="dxa" w:w="120"/>
              <w:bottom w:type="dxa" w:w="80"/>
              <w:right w:type="dxa" w:w="120"/>
            </w:tcMar>
          </w:tcPr>
          <w:p>
            <w:r>
              <w:rPr>
                <w:rFonts w:ascii="Arial" w:cs="Arial" w:eastAsia="Arial" w:hAnsi="Arial"/>
                <w:b/>
                <w:bCs/>
                <w:sz w:val="20"/>
                <w:szCs w:val="20"/>
              </w:rPr>
              <w:t xml:space="preserve">Ja</w:t>
            </w:r>
          </w:p>
        </w:tc>
        <w:tc>
          <w:tcPr>
            <w:tcW w:type="dxa" w:w="1100"/>
            <w:tcBorders>
              <w:top w:val="single" w:color="CCCCCC" w:sz="1"/>
              <w:left w:val="single" w:color="CCCCCC" w:sz="1"/>
              <w:bottom w:val="single" w:color="CCCCCC" w:sz="1"/>
              <w:right w:val="single" w:color="CCCCCC" w:sz="1"/>
            </w:tcBorders>
            <w:shd w:fill="E8F4F8" w:val="clear"/>
            <w:tcMar>
              <w:top w:type="dxa" w:w="80"/>
              <w:left w:type="dxa" w:w="120"/>
              <w:bottom w:type="dxa" w:w="80"/>
              <w:right w:type="dxa" w:w="120"/>
            </w:tcMar>
          </w:tcPr>
          <w:p>
            <w:r>
              <w:rPr>
                <w:rFonts w:ascii="Arial" w:cs="Arial" w:eastAsia="Arial" w:hAnsi="Arial"/>
                <w:b/>
                <w:bCs/>
                <w:sz w:val="20"/>
                <w:szCs w:val="20"/>
              </w:rPr>
              <w:t xml:space="preserve">Ja</w:t>
            </w:r>
          </w:p>
        </w:tc>
        <w:tc>
          <w:tcPr>
            <w:tcW w:type="dxa" w:w="1626"/>
            <w:tcBorders>
              <w:top w:val="single" w:color="CCCCCC" w:sz="1"/>
              <w:left w:val="single" w:color="CCCCCC" w:sz="1"/>
              <w:bottom w:val="single" w:color="CCCCCC" w:sz="1"/>
              <w:right w:val="single" w:color="CCCCCC" w:sz="1"/>
            </w:tcBorders>
            <w:shd w:fill="E8F4F8" w:val="clear"/>
            <w:tcMar>
              <w:top w:type="dxa" w:w="80"/>
              <w:left w:type="dxa" w:w="120"/>
              <w:bottom w:type="dxa" w:w="80"/>
              <w:right w:type="dxa" w:w="120"/>
            </w:tcMar>
          </w:tcPr>
          <w:p>
            <w:r>
              <w:rPr>
                <w:rFonts w:ascii="Arial" w:cs="Arial" w:eastAsia="Arial" w:hAnsi="Arial"/>
                <w:b/>
                <w:bCs/>
                <w:sz w:val="20"/>
                <w:szCs w:val="20"/>
              </w:rPr>
              <w:t xml:space="preserve">TBD</w:t>
            </w:r>
          </w:p>
        </w:tc>
      </w:tr>
    </w:tbl>
    <w:p>
      <w:pPr>
        <w:spacing w:after="200"/>
      </w:pPr>
    </w:p>
    <w:p>
      <w:pPr>
        <w:pStyle w:val="Heading2"/>
      </w:pPr>
      <w:r>
        <w:t xml:space="preserve">4.1 HeidiMails unikke position</w:t>
      </w:r>
    </w:p>
    <w:p>
      <w:pPr>
        <w:spacing w:after="120" w:line="276"/>
      </w:pPr>
      <w:r>
        <w:rPr>
          <w:rFonts w:ascii="Arial" w:cs="Arial" w:eastAsia="Arial" w:hAnsi="Arial"/>
          <w:sz w:val="22"/>
          <w:szCs w:val="22"/>
        </w:rPr>
        <w:t xml:space="preserve">Tabellen afslører et klart hul i markedet. Ingen eksisterende udbyder kombinerer alle tre elementer: end-to-end kryptering, kollaborativ email-redigering, og integreret chat — og slet ikke under dansk jurisdiktion. Proton Mail og Tuta har privacy, men ingen samarbejdsfunktioner. Gmail og Microsoft har samarbejdsfunktioner, men er underlagt CLOUD Act. HeidiMail kan udfylde dette gabende hul.</w:t>
      </w:r>
    </w:p>
    <w:p>
      <w:pPr>
        <w:spacing w:after="200"/>
      </w:pPr>
    </w:p>
    <w:p>
      <w:pPr>
        <w:pStyle w:val="Heading1"/>
      </w:pPr>
      <w:r>
        <w:t xml:space="preserve">5. Målgrupper og behov</w:t>
      </w:r>
    </w:p>
    <w:p>
      <w:pPr>
        <w:pStyle w:val="Heading2"/>
      </w:pPr>
      <w:r>
        <w:t xml:space="preserve">5.1 Primær: Danske virksomheder i regulerede brancher</w:t>
      </w:r>
    </w:p>
    <w:p>
      <w:pPr>
        <w:pStyle w:val="ListParagraph"/>
        <w:numPr>
          <w:ilvl w:val="0"/>
          <w:numId w:val="2"/>
        </w:numPr>
        <w:spacing w:after="60" w:line="276"/>
      </w:pPr>
      <w:r>
        <w:rPr>
          <w:rFonts w:ascii="Arial" w:cs="Arial" w:eastAsia="Arial" w:hAnsi="Arial"/>
          <w:sz w:val="22"/>
          <w:szCs w:val="22"/>
        </w:rPr>
        <w:t xml:space="preserve">Advokatfirmaer: Tavshedspligt kræver sikker kommunikation, krypteret mail er lovpligtigt for fortrolige data</w:t>
      </w:r>
    </w:p>
    <w:p>
      <w:pPr>
        <w:pStyle w:val="ListParagraph"/>
        <w:numPr>
          <w:ilvl w:val="0"/>
          <w:numId w:val="2"/>
        </w:numPr>
        <w:spacing w:after="60" w:line="276"/>
      </w:pPr>
      <w:r>
        <w:rPr>
          <w:rFonts w:ascii="Arial" w:cs="Arial" w:eastAsia="Arial" w:hAnsi="Arial"/>
          <w:sz w:val="22"/>
          <w:szCs w:val="22"/>
        </w:rPr>
        <w:t xml:space="preserve">Sundhedssektor: Patientdata er særligt følsomme under GDPR, Datatilsynet kræver kryptering</w:t>
      </w:r>
    </w:p>
    <w:p>
      <w:pPr>
        <w:pStyle w:val="ListParagraph"/>
        <w:numPr>
          <w:ilvl w:val="0"/>
          <w:numId w:val="2"/>
        </w:numPr>
        <w:spacing w:after="60" w:line="276"/>
      </w:pPr>
      <w:r>
        <w:rPr>
          <w:rFonts w:ascii="Arial" w:cs="Arial" w:eastAsia="Arial" w:hAnsi="Arial"/>
          <w:sz w:val="22"/>
          <w:szCs w:val="22"/>
        </w:rPr>
        <w:t xml:space="preserve">Finanssektoren: DORA kræver fra 2025 streng kontrol med ICT-leverandører og datasuverænitet</w:t>
      </w:r>
    </w:p>
    <w:p>
      <w:pPr>
        <w:pStyle w:val="ListParagraph"/>
        <w:numPr>
          <w:ilvl w:val="0"/>
          <w:numId w:val="2"/>
        </w:numPr>
        <w:spacing w:after="60" w:line="276"/>
      </w:pPr>
      <w:r>
        <w:rPr>
          <w:rFonts w:ascii="Arial" w:cs="Arial" w:eastAsia="Arial" w:hAnsi="Arial"/>
          <w:sz w:val="22"/>
          <w:szCs w:val="22"/>
        </w:rPr>
        <w:t xml:space="preserve">Revisorer og rådgivere: Håndterer klienters fortrolige økonomiske data dagligt</w:t>
      </w:r>
    </w:p>
    <w:p>
      <w:pPr>
        <w:pStyle w:val="Heading2"/>
      </w:pPr>
      <w:r>
        <w:t xml:space="preserve">5.2 Sekundær: Offentlig sektor</w:t>
      </w:r>
    </w:p>
    <w:p>
      <w:pPr>
        <w:spacing w:after="120" w:line="276"/>
      </w:pPr>
      <w:r>
        <w:rPr>
          <w:rFonts w:ascii="Arial" w:cs="Arial" w:eastAsia="Arial" w:hAnsi="Arial"/>
          <w:sz w:val="22"/>
          <w:szCs w:val="22"/>
        </w:rPr>
        <w:t xml:space="preserve">Den danske stat bevæger sig aktivt væk fra Microsoft. Digitaliseringsministeriet, Færdselsstyrelsen, Københavns Kommune og Aarhus Kommune er alle i gang med eller planlægger omstilling. HeidiMail kunne positionere sig som email-alternativet i denne bølge. Ekspertgruppen anbefalede specifikt at tre pilotkommuner støttes økonomisk i at overgå til alternativer.</w:t>
      </w:r>
    </w:p>
    <w:p>
      <w:pPr>
        <w:pStyle w:val="Heading2"/>
      </w:pPr>
      <w:r>
        <w:t xml:space="preserve">5.3 Tertiær: Privacy-bevidste privatpersoner</w:t>
      </w:r>
    </w:p>
    <w:p>
      <w:pPr>
        <w:spacing w:after="120" w:line="276"/>
      </w:pPr>
      <w:r>
        <w:rPr>
          <w:rFonts w:ascii="Arial" w:cs="Arial" w:eastAsia="Arial" w:hAnsi="Arial"/>
          <w:sz w:val="22"/>
          <w:szCs w:val="22"/>
        </w:rPr>
        <w:t xml:space="preserve">Danskere der ønsker et alternativ til Gmail/Outlook uden at data sendes til USA. Proton Mails vækst til 100+ mio. konti beviser at segmentet er reelt. En dansk pendant med dansk sprog, danske servere og “data der aldrig forlader Danmark” er et stærkt værditilbud.</w:t>
      </w:r>
    </w:p>
    <w:p>
      <w:pPr>
        <w:spacing w:after="200"/>
      </w:pPr>
    </w:p>
    <w:p>
      <w:pPr>
        <w:pStyle w:val="Heading1"/>
      </w:pPr>
      <w:r>
        <w:t xml:space="preserve">6. SWOT-analyse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CCCCCC" w:sz="1"/>
              <w:left w:val="single" w:color="CCCCCC" w:sz="1"/>
              <w:bottom w:val="single" w:color="CCCCCC" w:sz="1"/>
              <w:right w:val="single" w:color="CCCCCC" w:sz="1"/>
            </w:tcBorders>
            <w:shd w:fill="D4EDDA" w:val="clear"/>
            <w:tcMar>
              <w:top w:type="dxa" w:w="120"/>
              <w:left w:type="dxa" w:w="160"/>
              <w:bottom w:type="dxa" w:w="120"/>
              <w:right w:type="dxa" w:w="160"/>
            </w:tcMar>
          </w:tcPr>
          <w:p>
            <w:pPr>
              <w:spacing w:after="80"/>
            </w:pPr>
            <w:r>
              <w:rPr>
                <w:rFonts w:ascii="Arial" w:cs="Arial" w:eastAsia="Arial" w:hAnsi="Arial"/>
                <w:b/>
                <w:bCs/>
                <w:sz w:val="22"/>
                <w:szCs w:val="22"/>
              </w:rPr>
              <w:t xml:space="preserve">Styrker</w:t>
            </w:r>
          </w:p>
          <w:p>
            <w:pPr>
              <w:spacing w:after="40"/>
            </w:pPr>
            <w:r>
              <w:rPr>
                <w:rFonts w:ascii="Arial" w:cs="Arial" w:eastAsia="Arial" w:hAnsi="Arial"/>
                <w:sz w:val="20"/>
                <w:szCs w:val="20"/>
              </w:rPr>
              <w:t xml:space="preserve">• Dansk jurisdiktion (fuld GDPR)</w:t>
            </w:r>
          </w:p>
          <w:p>
            <w:pPr>
              <w:spacing w:after="40"/>
            </w:pPr>
            <w:r>
              <w:rPr>
                <w:rFonts w:ascii="Arial" w:cs="Arial" w:eastAsia="Arial" w:hAnsi="Arial"/>
                <w:sz w:val="20"/>
                <w:szCs w:val="20"/>
              </w:rPr>
              <w:t xml:space="preserve">• Unik feature-kombination</w:t>
            </w:r>
          </w:p>
          <w:p>
            <w:pPr>
              <w:spacing w:after="40"/>
            </w:pPr>
            <w:r>
              <w:rPr>
                <w:rFonts w:ascii="Arial" w:cs="Arial" w:eastAsia="Arial" w:hAnsi="Arial"/>
                <w:sz w:val="20"/>
                <w:szCs w:val="20"/>
              </w:rPr>
              <w:t xml:space="preserve">• Politisk medvind</w:t>
            </w:r>
          </w:p>
          <w:p>
            <w:r>
              <w:rPr>
                <w:rFonts w:ascii="Arial" w:cs="Arial" w:eastAsia="Arial" w:hAnsi="Arial"/>
                <w:sz w:val="20"/>
                <w:szCs w:val="20"/>
              </w:rPr>
              <w:t xml:space="preserve">• Ingen dansk konkurrent</w:t>
            </w:r>
          </w:p>
        </w:tc>
        <w:tc>
          <w:tcPr>
            <w:tcW w:type="dxa" w:w="4513"/>
            <w:tcBorders>
              <w:top w:val="single" w:color="CCCCCC" w:sz="1"/>
              <w:left w:val="single" w:color="CCCCCC" w:sz="1"/>
              <w:bottom w:val="single" w:color="CCCCCC" w:sz="1"/>
              <w:right w:val="single" w:color="CCCCCC" w:sz="1"/>
            </w:tcBorders>
            <w:shd w:fill="F8D7DA" w:val="clear"/>
            <w:tcMar>
              <w:top w:type="dxa" w:w="120"/>
              <w:left w:type="dxa" w:w="160"/>
              <w:bottom w:type="dxa" w:w="120"/>
              <w:right w:type="dxa" w:w="160"/>
            </w:tcMar>
          </w:tcPr>
          <w:p>
            <w:pPr>
              <w:spacing w:after="80"/>
            </w:pPr>
            <w:r>
              <w:rPr>
                <w:rFonts w:ascii="Arial" w:cs="Arial" w:eastAsia="Arial" w:hAnsi="Arial"/>
                <w:b/>
                <w:bCs/>
                <w:sz w:val="22"/>
                <w:szCs w:val="22"/>
              </w:rPr>
              <w:t xml:space="preserve">Svagheder</w:t>
            </w:r>
          </w:p>
          <w:p>
            <w:pPr>
              <w:spacing w:after="40"/>
            </w:pPr>
            <w:r>
              <w:rPr>
                <w:rFonts w:ascii="Arial" w:cs="Arial" w:eastAsia="Arial" w:hAnsi="Arial"/>
                <w:sz w:val="20"/>
                <w:szCs w:val="20"/>
              </w:rPr>
              <w:t xml:space="preserve">• Ingen eksisterende brugerbase</w:t>
            </w:r>
          </w:p>
          <w:p>
            <w:pPr>
              <w:spacing w:after="40"/>
            </w:pPr>
            <w:r>
              <w:rPr>
                <w:rFonts w:ascii="Arial" w:cs="Arial" w:eastAsia="Arial" w:hAnsi="Arial"/>
                <w:sz w:val="20"/>
                <w:szCs w:val="20"/>
              </w:rPr>
              <w:t xml:space="preserve">• Høj teknisk kompleksitet</w:t>
            </w:r>
          </w:p>
          <w:p>
            <w:pPr>
              <w:spacing w:after="40"/>
            </w:pPr>
            <w:r>
              <w:rPr>
                <w:rFonts w:ascii="Arial" w:cs="Arial" w:eastAsia="Arial" w:hAnsi="Arial"/>
                <w:sz w:val="20"/>
                <w:szCs w:val="20"/>
              </w:rPr>
              <w:t xml:space="preserve">• Kamp mod Gmail/Outlook-vaner</w:t>
            </w:r>
          </w:p>
          <w:p>
            <w:r>
              <w:rPr>
                <w:rFonts w:ascii="Arial" w:cs="Arial" w:eastAsia="Arial" w:hAnsi="Arial"/>
                <w:sz w:val="20"/>
                <w:szCs w:val="20"/>
              </w:rPr>
              <w:t xml:space="preserve">• Lille hjemmemarked (6 mio.)</w:t>
            </w:r>
          </w:p>
        </w:tc>
      </w:tr>
      <w:tr>
        <w:tc>
          <w:tcPr>
            <w:tcW w:type="dxa" w:w="4513"/>
            <w:tcBorders>
              <w:top w:val="single" w:color="CCCCCC" w:sz="1"/>
              <w:left w:val="single" w:color="CCCCCC" w:sz="1"/>
              <w:bottom w:val="single" w:color="CCCCCC" w:sz="1"/>
              <w:right w:val="single" w:color="CCCCCC" w:sz="1"/>
            </w:tcBorders>
            <w:shd w:fill="CCE5FF" w:val="clear"/>
            <w:tcMar>
              <w:top w:type="dxa" w:w="120"/>
              <w:left w:type="dxa" w:w="160"/>
              <w:bottom w:type="dxa" w:w="120"/>
              <w:right w:type="dxa" w:w="160"/>
            </w:tcMar>
          </w:tcPr>
          <w:p>
            <w:pPr>
              <w:spacing w:after="80"/>
            </w:pPr>
            <w:r>
              <w:rPr>
                <w:rFonts w:ascii="Arial" w:cs="Arial" w:eastAsia="Arial" w:hAnsi="Arial"/>
                <w:b/>
                <w:bCs/>
                <w:sz w:val="22"/>
                <w:szCs w:val="22"/>
              </w:rPr>
              <w:t xml:space="preserve">Muligheder</w:t>
            </w:r>
          </w:p>
          <w:p>
            <w:pPr>
              <w:spacing w:after="40"/>
            </w:pPr>
            <w:r>
              <w:rPr>
                <w:rFonts w:ascii="Arial" w:cs="Arial" w:eastAsia="Arial" w:hAnsi="Arial"/>
                <w:sz w:val="20"/>
                <w:szCs w:val="20"/>
              </w:rPr>
              <w:t xml:space="preserve">• Offentlige udbud og pilotkommuner</w:t>
            </w:r>
          </w:p>
          <w:p>
            <w:pPr>
              <w:spacing w:after="40"/>
            </w:pPr>
            <w:r>
              <w:rPr>
                <w:rFonts w:ascii="Arial" w:cs="Arial" w:eastAsia="Arial" w:hAnsi="Arial"/>
                <w:sz w:val="20"/>
                <w:szCs w:val="20"/>
              </w:rPr>
              <w:t xml:space="preserve">• Nordisk ekspansion (NO/SE/FI)</w:t>
            </w:r>
          </w:p>
          <w:p>
            <w:pPr>
              <w:spacing w:after="40"/>
            </w:pPr>
            <w:r>
              <w:rPr>
                <w:rFonts w:ascii="Arial" w:cs="Arial" w:eastAsia="Arial" w:hAnsi="Arial"/>
                <w:sz w:val="20"/>
                <w:szCs w:val="20"/>
              </w:rPr>
              <w:t xml:space="preserve">• EU-støttemidler til digital suverænitet</w:t>
            </w:r>
          </w:p>
          <w:p>
            <w:r>
              <w:rPr>
                <w:rFonts w:ascii="Arial" w:cs="Arial" w:eastAsia="Arial" w:hAnsi="Arial"/>
                <w:sz w:val="20"/>
                <w:szCs w:val="20"/>
              </w:rPr>
              <w:t xml:space="preserve">• B2B-upsell med custom domains</w:t>
            </w:r>
          </w:p>
        </w:tc>
        <w:tc>
          <w:tcPr>
            <w:tcW w:type="dxa" w:w="4513"/>
            <w:tcBorders>
              <w:top w:val="single" w:color="CCCCCC" w:sz="1"/>
              <w:left w:val="single" w:color="CCCCCC" w:sz="1"/>
              <w:bottom w:val="single" w:color="CCCCCC" w:sz="1"/>
              <w:right w:val="single" w:color="CCCCCC" w:sz="1"/>
            </w:tcBorders>
            <w:shd w:fill="FFF3CD" w:val="clear"/>
            <w:tcMar>
              <w:top w:type="dxa" w:w="120"/>
              <w:left w:type="dxa" w:w="160"/>
              <w:bottom w:type="dxa" w:w="120"/>
              <w:right w:type="dxa" w:w="160"/>
            </w:tcMar>
          </w:tcPr>
          <w:p>
            <w:pPr>
              <w:spacing w:after="80"/>
            </w:pPr>
            <w:r>
              <w:rPr>
                <w:rFonts w:ascii="Arial" w:cs="Arial" w:eastAsia="Arial" w:hAnsi="Arial"/>
                <w:b/>
                <w:bCs/>
                <w:sz w:val="22"/>
                <w:szCs w:val="22"/>
              </w:rPr>
              <w:t xml:space="preserve">Trusler</w:t>
            </w:r>
          </w:p>
          <w:p>
            <w:pPr>
              <w:spacing w:after="40"/>
            </w:pPr>
            <w:r>
              <w:rPr>
                <w:rFonts w:ascii="Arial" w:cs="Arial" w:eastAsia="Arial" w:hAnsi="Arial"/>
                <w:sz w:val="20"/>
                <w:szCs w:val="20"/>
              </w:rPr>
              <w:t xml:space="preserve">• Proton Mail tilføjer collab-features</w:t>
            </w:r>
          </w:p>
          <w:p>
            <w:pPr>
              <w:spacing w:after="40"/>
            </w:pPr>
            <w:r>
              <w:rPr>
                <w:rFonts w:ascii="Arial" w:cs="Arial" w:eastAsia="Arial" w:hAnsi="Arial"/>
                <w:sz w:val="20"/>
                <w:szCs w:val="20"/>
              </w:rPr>
              <w:t xml:space="preserve">• Google/MS “suveræne cloud”-tilbud</w:t>
            </w:r>
          </w:p>
          <w:p>
            <w:pPr>
              <w:spacing w:after="40"/>
            </w:pPr>
            <w:r>
              <w:rPr>
                <w:rFonts w:ascii="Arial" w:cs="Arial" w:eastAsia="Arial" w:hAnsi="Arial"/>
                <w:sz w:val="20"/>
                <w:szCs w:val="20"/>
              </w:rPr>
              <w:t xml:space="preserve">• Politisk medvind kan aftage</w:t>
            </w:r>
          </w:p>
          <w:p>
            <w:r>
              <w:rPr>
                <w:rFonts w:ascii="Arial" w:cs="Arial" w:eastAsia="Arial" w:hAnsi="Arial"/>
                <w:sz w:val="20"/>
                <w:szCs w:val="20"/>
              </w:rPr>
              <w:t xml:space="preserve">• Geopolitisk afspænding mindsker urgency</w:t>
            </w:r>
          </w:p>
        </w:tc>
      </w:tr>
    </w:tbl>
    <w:p>
      <w:pPr>
        <w:spacing w:after="200"/>
      </w:pPr>
    </w:p>
    <w:p>
      <w:pPr>
        <w:pStyle w:val="Heading1"/>
      </w:pPr>
      <w:r>
        <w:t xml:space="preserve">7. Vurdering af markedsmuligheden</w:t>
      </w:r>
    </w:p>
    <w:p>
      <w:pPr>
        <w:pStyle w:val="Heading2"/>
      </w:pPr>
      <w:r>
        <w:t xml:space="preserve">7.1 Scoring</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000"/>
        <w:gridCol w:w="1513"/>
        <w:gridCol w:w="3513"/>
      </w:tblGrid>
      <w:tr>
        <w:tc>
          <w:tcPr>
            <w:tcW w:type="dxa" w:w="4000"/>
            <w:tcBorders>
              <w:top w:val="single" w:color="CCCCCC" w:sz="1"/>
              <w:left w:val="single" w:color="CCCCCC" w:sz="1"/>
              <w:bottom w:val="single" w:color="CCCCCC" w:sz="1"/>
              <w:right w:val="single" w:color="CCCCCC" w:sz="1"/>
            </w:tcBorders>
            <w:shd w:fill="1B5E7B" w:val="clear"/>
            <w:tcMar>
              <w:top w:type="dxa" w:w="80"/>
              <w:left w:type="dxa" w:w="120"/>
              <w:bottom w:type="dxa" w:w="80"/>
              <w:right w:type="dxa" w:w="120"/>
            </w:tcMar>
            <w:vAlign w:val="center"/>
          </w:tcPr>
          <w:p>
            <w:r>
              <w:rPr>
                <w:rFonts w:ascii="Arial" w:cs="Arial" w:eastAsia="Arial" w:hAnsi="Arial"/>
                <w:b/>
                <w:bCs/>
                <w:color w:val="FFFFFF"/>
                <w:sz w:val="20"/>
                <w:szCs w:val="20"/>
              </w:rPr>
              <w:t xml:space="preserve">Kriterium</w:t>
            </w:r>
          </w:p>
        </w:tc>
        <w:tc>
          <w:tcPr>
            <w:tcW w:type="dxa" w:w="1513"/>
            <w:tcBorders>
              <w:top w:val="single" w:color="CCCCCC" w:sz="1"/>
              <w:left w:val="single" w:color="CCCCCC" w:sz="1"/>
              <w:bottom w:val="single" w:color="CCCCCC" w:sz="1"/>
              <w:right w:val="single" w:color="CCCCCC" w:sz="1"/>
            </w:tcBorders>
            <w:shd w:fill="1B5E7B" w:val="clear"/>
            <w:tcMar>
              <w:top w:type="dxa" w:w="80"/>
              <w:left w:type="dxa" w:w="120"/>
              <w:bottom w:type="dxa" w:w="80"/>
              <w:right w:type="dxa" w:w="120"/>
            </w:tcMar>
            <w:vAlign w:val="center"/>
          </w:tcPr>
          <w:p>
            <w:r>
              <w:rPr>
                <w:rFonts w:ascii="Arial" w:cs="Arial" w:eastAsia="Arial" w:hAnsi="Arial"/>
                <w:b/>
                <w:bCs/>
                <w:color w:val="FFFFFF"/>
                <w:sz w:val="20"/>
                <w:szCs w:val="20"/>
              </w:rPr>
              <w:t xml:space="preserve">Score</w:t>
            </w:r>
          </w:p>
        </w:tc>
        <w:tc>
          <w:tcPr>
            <w:tcW w:type="dxa" w:w="3513"/>
            <w:tcBorders>
              <w:top w:val="single" w:color="CCCCCC" w:sz="1"/>
              <w:left w:val="single" w:color="CCCCCC" w:sz="1"/>
              <w:bottom w:val="single" w:color="CCCCCC" w:sz="1"/>
              <w:right w:val="single" w:color="CCCCCC" w:sz="1"/>
            </w:tcBorders>
            <w:shd w:fill="1B5E7B" w:val="clear"/>
            <w:tcMar>
              <w:top w:type="dxa" w:w="80"/>
              <w:left w:type="dxa" w:w="120"/>
              <w:bottom w:type="dxa" w:w="80"/>
              <w:right w:type="dxa" w:w="120"/>
            </w:tcMar>
            <w:vAlign w:val="center"/>
          </w:tcPr>
          <w:p>
            <w:r>
              <w:rPr>
                <w:rFonts w:ascii="Arial" w:cs="Arial" w:eastAsia="Arial" w:hAnsi="Arial"/>
                <w:b/>
                <w:bCs/>
                <w:color w:val="FFFFFF"/>
                <w:sz w:val="20"/>
                <w:szCs w:val="20"/>
              </w:rPr>
              <w:t xml:space="preserve">Begrundelse</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Markedsbehov</w:t>
            </w:r>
          </w:p>
        </w:tc>
        <w:tc>
          <w:tcPr>
            <w:tcW w:type="dxa" w:w="1513"/>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w:t>
            </w:r>
          </w:p>
        </w:tc>
        <w:tc>
          <w:tcPr>
            <w:tcW w:type="dxa" w:w="3513"/>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Regulatorisk og politisk pres skaber reel efterspørgsel</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Timing</w:t>
            </w:r>
          </w:p>
        </w:tc>
        <w:tc>
          <w:tcPr>
            <w:tcW w:type="dxa" w:w="1513"/>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w:t>
            </w:r>
          </w:p>
        </w:tc>
        <w:tc>
          <w:tcPr>
            <w:tcW w:type="dxa" w:w="3513"/>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DK-regering, EU-regler, CLOUD Act-frygt peaker nu</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Konkurrenceintensitet</w:t>
            </w:r>
          </w:p>
        </w:tc>
        <w:tc>
          <w:tcPr>
            <w:tcW w:type="dxa" w:w="1513"/>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w:t>
            </w:r>
          </w:p>
        </w:tc>
        <w:tc>
          <w:tcPr>
            <w:tcW w:type="dxa" w:w="3513"/>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Ingen direkte dansk konkurrent, men stærke int. spillere</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Differentiering</w:t>
            </w:r>
          </w:p>
        </w:tc>
        <w:tc>
          <w:tcPr>
            <w:tcW w:type="dxa" w:w="1513"/>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w:t>
            </w:r>
          </w:p>
        </w:tc>
        <w:tc>
          <w:tcPr>
            <w:tcW w:type="dxa" w:w="3513"/>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Unik kombination: privacy + collab + chat + dansk</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Teknisk kompleksitet</w:t>
            </w:r>
          </w:p>
        </w:tc>
        <w:tc>
          <w:tcPr>
            <w:tcW w:type="dxa" w:w="1513"/>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w:t>
            </w:r>
          </w:p>
        </w:tc>
        <w:tc>
          <w:tcPr>
            <w:tcW w:type="dxa" w:w="3513"/>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CRDT/OT-baseret collab + E2E-kryptering er svært</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Skalerbarhed</w:t>
            </w:r>
          </w:p>
        </w:tc>
        <w:tc>
          <w:tcPr>
            <w:tcW w:type="dxa" w:w="1513"/>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w:t>
            </w:r>
          </w:p>
        </w:tc>
        <w:tc>
          <w:tcPr>
            <w:tcW w:type="dxa" w:w="3513"/>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40"/>
            </w:pPr>
            <w:r>
              <w:rPr>
                <w:rFonts w:ascii="Arial" w:cs="Arial" w:eastAsia="Arial" w:hAnsi="Arial"/>
                <w:sz w:val="20"/>
                <w:szCs w:val="20"/>
              </w:rPr>
              <w:t xml:space="preserve">Dansk start, nordisk/EU-potentiale</w:t>
            </w:r>
          </w:p>
        </w:tc>
      </w:tr>
    </w:tbl>
    <w:p>
      <w:pPr>
        <w:spacing w:after="200"/>
      </w:pPr>
    </w:p>
    <w:p>
      <w:pPr>
        <w:pStyle w:val="Heading2"/>
      </w:pPr>
      <w:r>
        <w:t xml:space="preserve">7.2 Samlet vurdering</w:t>
      </w:r>
    </w:p>
    <w:p>
      <w:pPr>
        <w:spacing w:after="120" w:line="276"/>
      </w:pPr>
      <w:r>
        <w:rPr>
          <w:rFonts w:ascii="Arial" w:cs="Arial" w:eastAsia="Arial" w:hAnsi="Arial"/>
          <w:sz w:val="22"/>
          <w:szCs w:val="22"/>
        </w:rPr>
        <w:t xml:space="preserve">Markedsmuligheden er reel og veltimed. Det største spørgsmål er ikke om der er behov — det er der ubestrideligt — men om HeidiMail kan bygges teknisk godt nok til at være et troeværdigt alternativ. Det kræver en solid MVP med først og fremmest pålidelig email, derefter chat, og sidst kollaborativ redigering.</w:t>
      </w:r>
    </w:p>
    <w:p>
      <w:pPr>
        <w:spacing w:after="200"/>
      </w:pPr>
    </w:p>
    <w:p>
      <w:pPr>
        <w:pStyle w:val="Heading1"/>
      </w:pPr>
      <w:r>
        <w:t xml:space="preserve">8. Anbefalinger til næste skridt</w:t>
      </w:r>
    </w:p>
    <w:p>
      <w:pPr>
        <w:pStyle w:val="ListParagraph"/>
        <w:numPr>
          <w:ilvl w:val="0"/>
          <w:numId w:val="3"/>
        </w:numPr>
        <w:spacing w:after="80" w:line="276"/>
      </w:pPr>
      <w:r>
        <w:rPr>
          <w:rFonts w:ascii="Arial" w:cs="Arial" w:eastAsia="Arial" w:hAnsi="Arial"/>
          <w:b/>
          <w:bCs/>
          <w:sz w:val="22"/>
          <w:szCs w:val="22"/>
        </w:rPr>
        <w:t xml:space="preserve">Valider med målgruppen: </w:t>
      </w:r>
      <w:r>
        <w:rPr>
          <w:rFonts w:ascii="Arial" w:cs="Arial" w:eastAsia="Arial" w:hAnsi="Arial"/>
          <w:sz w:val="22"/>
          <w:szCs w:val="22"/>
        </w:rPr>
        <w:t xml:space="preserve">Tal med 10-15 advokatfirmaer, revisorer og kommunale IT-chefer. Ville de betale for en dansk email-løsning?</w:t>
      </w:r>
    </w:p>
    <w:p>
      <w:pPr>
        <w:pStyle w:val="ListParagraph"/>
        <w:numPr>
          <w:ilvl w:val="0"/>
          <w:numId w:val="3"/>
        </w:numPr>
        <w:spacing w:after="80" w:line="276"/>
      </w:pPr>
      <w:r>
        <w:rPr>
          <w:rFonts w:ascii="Arial" w:cs="Arial" w:eastAsia="Arial" w:hAnsi="Arial"/>
          <w:b/>
          <w:bCs/>
          <w:sz w:val="22"/>
          <w:szCs w:val="22"/>
        </w:rPr>
        <w:t xml:space="preserve">Definér MVP: </w:t>
      </w:r>
      <w:r>
        <w:rPr>
          <w:rFonts w:ascii="Arial" w:cs="Arial" w:eastAsia="Arial" w:hAnsi="Arial"/>
          <w:sz w:val="22"/>
          <w:szCs w:val="22"/>
        </w:rPr>
        <w:t xml:space="preserve">Start med sikker email + chat. Tilføj kollaborativ redigering i v2. Undgå at bygge alt på én gang.</w:t>
      </w:r>
    </w:p>
    <w:p>
      <w:pPr>
        <w:pStyle w:val="ListParagraph"/>
        <w:numPr>
          <w:ilvl w:val="0"/>
          <w:numId w:val="3"/>
        </w:numPr>
        <w:spacing w:after="80" w:line="276"/>
      </w:pPr>
      <w:r>
        <w:rPr>
          <w:rFonts w:ascii="Arial" w:cs="Arial" w:eastAsia="Arial" w:hAnsi="Arial"/>
          <w:b/>
          <w:bCs/>
          <w:sz w:val="22"/>
          <w:szCs w:val="22"/>
        </w:rPr>
        <w:t xml:space="preserve">Undersøg offentlige støttemuligheder: </w:t>
      </w:r>
      <w:r>
        <w:rPr>
          <w:rFonts w:ascii="Arial" w:cs="Arial" w:eastAsia="Arial" w:hAnsi="Arial"/>
          <w:sz w:val="22"/>
          <w:szCs w:val="22"/>
        </w:rPr>
        <w:t xml:space="preserve">EU-fonde for digital suverænitet, Innovationsfonden, og de tre planlagte pilotkommuner.</w:t>
      </w:r>
    </w:p>
    <w:p>
      <w:pPr>
        <w:pStyle w:val="ListParagraph"/>
        <w:numPr>
          <w:ilvl w:val="0"/>
          <w:numId w:val="3"/>
        </w:numPr>
        <w:spacing w:after="80" w:line="276"/>
      </w:pPr>
      <w:r>
        <w:rPr>
          <w:rFonts w:ascii="Arial" w:cs="Arial" w:eastAsia="Arial" w:hAnsi="Arial"/>
          <w:b/>
          <w:bCs/>
          <w:sz w:val="22"/>
          <w:szCs w:val="22"/>
        </w:rPr>
        <w:t xml:space="preserve">Positioner brandet: </w:t>
      </w:r>
      <w:r>
        <w:rPr>
          <w:rFonts w:ascii="Arial" w:cs="Arial" w:eastAsia="Arial" w:hAnsi="Arial"/>
          <w:sz w:val="22"/>
          <w:szCs w:val="22"/>
        </w:rPr>
        <w:t xml:space="preserve">“Dine data forlader aldrig Danmark” — simpelt, stærkt, relevant.</w:t>
      </w:r>
    </w:p>
    <w:p>
      <w:pPr>
        <w:pStyle w:val="ListParagraph"/>
        <w:numPr>
          <w:ilvl w:val="0"/>
          <w:numId w:val="3"/>
        </w:numPr>
        <w:spacing w:after="80" w:line="276"/>
      </w:pPr>
      <w:r>
        <w:rPr>
          <w:rFonts w:ascii="Arial" w:cs="Arial" w:eastAsia="Arial" w:hAnsi="Arial"/>
          <w:b/>
          <w:bCs/>
          <w:sz w:val="22"/>
          <w:szCs w:val="22"/>
        </w:rPr>
        <w:t xml:space="preserve">Vælg open source: </w:t>
      </w:r>
      <w:r>
        <w:rPr>
          <w:rFonts w:ascii="Arial" w:cs="Arial" w:eastAsia="Arial" w:hAnsi="Arial"/>
          <w:sz w:val="22"/>
          <w:szCs w:val="22"/>
        </w:rPr>
        <w:t xml:space="preserve">Troeværdighed i privacy-markedet kræver gennemsigtighed. Open source-kode er næsten en forudsætning.</w:t>
      </w:r>
    </w:p>
    <w:p>
      <w:pPr>
        <w:spacing w:after="200"/>
      </w:pPr>
    </w:p>
    <w:p>
      <w:pPr>
        <w:pStyle w:val="Heading1"/>
      </w:pPr>
      <w:r>
        <w:t xml:space="preserve">9. Kilder</w:t>
      </w:r>
    </w:p>
    <w:p>
      <w:pPr>
        <w:spacing w:after="120" w:line="276"/>
        <w:rPr>
          <w:i/>
          <w:iCs/>
          <w:color w:val="666666"/>
          <w:sz w:val="20"/>
          <w:szCs w:val="20"/>
        </w:rPr>
      </w:pPr>
      <w:r>
        <w:rPr>
          <w:rFonts w:ascii="Arial" w:cs="Arial" w:eastAsia="Arial" w:hAnsi="Arial"/>
          <w:i/>
          <w:iCs/>
          <w:color w:val="666666"/>
          <w:sz w:val="20"/>
          <w:szCs w:val="20"/>
        </w:rPr>
        <w:t xml:space="preserve">Analysen er baseret på følgende kilder og datakilder:</w:t>
      </w:r>
    </w:p>
    <w:p>
      <w:pPr>
        <w:pStyle w:val="ListParagraph"/>
        <w:numPr>
          <w:ilvl w:val="0"/>
          <w:numId w:val="2"/>
        </w:numPr>
        <w:spacing w:after="60" w:line="276"/>
      </w:pPr>
      <w:r>
        <w:rPr>
          <w:rFonts w:ascii="Arial" w:cs="Arial" w:eastAsia="Arial" w:hAnsi="Arial"/>
          <w:sz w:val="22"/>
          <w:szCs w:val="22"/>
        </w:rPr>
        <w:t xml:space="preserve">MarketsandMarkets: Email Encryption Market Report (2025)</w:t>
      </w:r>
    </w:p>
    <w:p>
      <w:pPr>
        <w:pStyle w:val="ListParagraph"/>
        <w:numPr>
          <w:ilvl w:val="0"/>
          <w:numId w:val="2"/>
        </w:numPr>
        <w:spacing w:after="60" w:line="276"/>
      </w:pPr>
      <w:r>
        <w:rPr>
          <w:rFonts w:ascii="Arial" w:cs="Arial" w:eastAsia="Arial" w:hAnsi="Arial"/>
          <w:sz w:val="22"/>
          <w:szCs w:val="22"/>
        </w:rPr>
        <w:t xml:space="preserve">Fortune Business Insights: Email Security Market (2025)</w:t>
      </w:r>
    </w:p>
    <w:p>
      <w:pPr>
        <w:pStyle w:val="ListParagraph"/>
        <w:numPr>
          <w:ilvl w:val="0"/>
          <w:numId w:val="2"/>
        </w:numPr>
        <w:spacing w:after="60" w:line="276"/>
      </w:pPr>
      <w:r>
        <w:rPr>
          <w:rFonts w:ascii="Arial" w:cs="Arial" w:eastAsia="Arial" w:hAnsi="Arial"/>
          <w:sz w:val="22"/>
          <w:szCs w:val="22"/>
        </w:rPr>
        <w:t xml:space="preserve">Mordor Intelligence: Cloud-based Email Security Market (2025)</w:t>
      </w:r>
    </w:p>
    <w:p>
      <w:pPr>
        <w:pStyle w:val="ListParagraph"/>
        <w:numPr>
          <w:ilvl w:val="0"/>
          <w:numId w:val="2"/>
        </w:numPr>
        <w:spacing w:after="60" w:line="276"/>
      </w:pPr>
      <w:r>
        <w:rPr>
          <w:rFonts w:ascii="Arial" w:cs="Arial" w:eastAsia="Arial" w:hAnsi="Arial"/>
          <w:sz w:val="22"/>
          <w:szCs w:val="22"/>
        </w:rPr>
        <w:t xml:space="preserve">Proton AG: Officielle brugertal og årsrapporter</w:t>
      </w:r>
    </w:p>
    <w:p>
      <w:pPr>
        <w:pStyle w:val="ListParagraph"/>
        <w:numPr>
          <w:ilvl w:val="0"/>
          <w:numId w:val="2"/>
        </w:numPr>
        <w:spacing w:after="60" w:line="276"/>
      </w:pPr>
      <w:r>
        <w:rPr>
          <w:rFonts w:ascii="Arial" w:cs="Arial" w:eastAsia="Arial" w:hAnsi="Arial"/>
          <w:sz w:val="22"/>
          <w:szCs w:val="22"/>
        </w:rPr>
        <w:t xml:space="preserve">Ingeniøren / Version2: Artikler om dansk digital suverænitet (2024-2025)</w:t>
      </w:r>
    </w:p>
    <w:p>
      <w:pPr>
        <w:pStyle w:val="ListParagraph"/>
        <w:numPr>
          <w:ilvl w:val="0"/>
          <w:numId w:val="2"/>
        </w:numPr>
        <w:spacing w:after="60" w:line="276"/>
      </w:pPr>
      <w:r>
        <w:rPr>
          <w:rFonts w:ascii="Arial" w:cs="Arial" w:eastAsia="Arial" w:hAnsi="Arial"/>
          <w:sz w:val="22"/>
          <w:szCs w:val="22"/>
        </w:rPr>
        <w:t xml:space="preserve">Altinget: Debatindlæg om offentlig IT-strategi (2025)</w:t>
      </w:r>
    </w:p>
    <w:p>
      <w:pPr>
        <w:pStyle w:val="ListParagraph"/>
        <w:numPr>
          <w:ilvl w:val="0"/>
          <w:numId w:val="2"/>
        </w:numPr>
        <w:spacing w:after="60" w:line="276"/>
      </w:pPr>
      <w:r>
        <w:rPr>
          <w:rFonts w:ascii="Arial" w:cs="Arial" w:eastAsia="Arial" w:hAnsi="Arial"/>
          <w:sz w:val="22"/>
          <w:szCs w:val="22"/>
        </w:rPr>
        <w:t xml:space="preserve">Atlantic Council: Digital Sovereignty Report (2026)</w:t>
      </w:r>
    </w:p>
    <w:p>
      <w:pPr>
        <w:pStyle w:val="ListParagraph"/>
        <w:numPr>
          <w:ilvl w:val="0"/>
          <w:numId w:val="2"/>
        </w:numPr>
        <w:spacing w:after="60" w:line="276"/>
      </w:pPr>
      <w:r>
        <w:rPr>
          <w:rFonts w:ascii="Arial" w:cs="Arial" w:eastAsia="Arial" w:hAnsi="Arial"/>
          <w:sz w:val="22"/>
          <w:szCs w:val="22"/>
        </w:rPr>
        <w:t xml:space="preserve">CMS Law-Now: White Paper on CLOUD Act vs EU Data Sovereignty (2026)</w:t>
      </w:r>
    </w:p>
    <w:p>
      <w:pPr>
        <w:pStyle w:val="ListParagraph"/>
        <w:numPr>
          <w:ilvl w:val="0"/>
          <w:numId w:val="2"/>
        </w:numPr>
        <w:spacing w:after="60" w:line="276"/>
      </w:pPr>
      <w:r>
        <w:rPr>
          <w:rFonts w:ascii="Arial" w:cs="Arial" w:eastAsia="Arial" w:hAnsi="Arial"/>
          <w:sz w:val="22"/>
          <w:szCs w:val="22"/>
        </w:rPr>
        <w:t xml:space="preserve">Dataetisk Tænkehandletank: Anbefalinger til regeringen (2025)</w:t>
      </w:r>
    </w:p>
    <w:p>
      <w:pPr>
        <w:pStyle w:val="ListParagraph"/>
        <w:numPr>
          <w:ilvl w:val="0"/>
          <w:numId w:val="2"/>
        </w:numPr>
        <w:spacing w:after="60" w:line="276"/>
      </w:pPr>
      <w:r>
        <w:rPr>
          <w:rFonts w:ascii="Arial" w:cs="Arial" w:eastAsia="Arial" w:hAnsi="Arial"/>
          <w:sz w:val="22"/>
          <w:szCs w:val="22"/>
        </w:rPr>
        <w:t xml:space="preserve">Wire / Exoscale / Gart Solutions: EU sovereign cloud-analyser (2025-2026)</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99999"/>
        <w:sz w:val="18"/>
        <w:szCs w:val="18"/>
      </w:rPr>
      <w:t xml:space="preserve">HeidiMail.dk — Markedsanalyse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B5E7B"/>
      <w:sz w:val="36"/>
      <w:szCs w:val="36"/>
    </w:rPr>
  </w:style>
  <w:style w:type="paragraph" w:styleId="Heading2">
    <w:name w:val="Heading 2"/>
    <w:basedOn w:val="Normal"/>
    <w:next w:val="Normal"/>
    <w:qFormat/>
    <w:pPr>
      <w:spacing w:before="240" w:after="160"/>
      <w:outlineLvl w:val="1"/>
    </w:pPr>
    <w:rPr>
      <w:rFonts w:ascii="Arial" w:cs="Arial" w:eastAsia="Arial" w:hAnsi="Arial"/>
      <w:b/>
      <w:bCs/>
      <w:color w:val="1B5E7B"/>
      <w:sz w:val="28"/>
      <w:szCs w:val="28"/>
    </w:rPr>
  </w:style>
  <w:style w:type="paragraph" w:styleId="Heading3">
    <w:name w:val="Heading 3"/>
    <w:basedOn w:val="Normal"/>
    <w:next w:val="Normal"/>
    <w:qFormat/>
    <w:pPr>
      <w:spacing w:before="200" w:after="120"/>
      <w:outlineLvl w:val="2"/>
    </w:pPr>
    <w:rPr>
      <w:rFonts w:ascii="Arial" w:cs="Arial" w:eastAsia="Arial" w:hAnsi="Arial"/>
      <w:b/>
      <w:b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2026-02-21T00:44:15.177Z</dcterms:created>
  <dcterms:modified xsi:type="dcterms:W3CDTF">2026-02-21T00:44:15.178Z</dcterms:modified>
</cp:coreProperties>
</file>

<file path=docProps/custom.xml><?xml version="1.0" encoding="utf-8"?>
<Properties xmlns="http://schemas.openxmlformats.org/officeDocument/2006/custom-properties" xmlns:vt="http://schemas.openxmlformats.org/officeDocument/2006/docPropsVTypes"/>
</file>